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1"/>
        <w:tblW w:w="3396" w:type="dxa"/>
        <w:tblInd w:w="6262" w:type="dxa"/>
        <w:tblLook w:val="04A0" w:firstRow="1" w:lastRow="0" w:firstColumn="1" w:lastColumn="0" w:noHBand="0" w:noVBand="1"/>
      </w:tblPr>
      <w:tblGrid>
        <w:gridCol w:w="3396"/>
      </w:tblGrid>
      <w:tr w:rsidR="003A7CC3" w:rsidRPr="00C764B5" w14:paraId="52BE3FC0" w14:textId="77777777" w:rsidTr="001468A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87B06BC" w14:textId="5F332E47" w:rsidR="003A7CC3" w:rsidRPr="00C764B5" w:rsidRDefault="00E07743" w:rsidP="001468A1">
            <w:pPr>
              <w:ind w:hanging="138"/>
              <w:jc w:val="center"/>
              <w:rPr>
                <w:sz w:val="28"/>
                <w:szCs w:val="28"/>
              </w:rPr>
            </w:pPr>
            <w:bookmarkStart w:id="0" w:name="_Hlk173418860"/>
            <w:bookmarkStart w:id="1" w:name="z117"/>
            <w:r>
              <w:rPr>
                <w:sz w:val="28"/>
                <w:szCs w:val="28"/>
              </w:rPr>
              <w:t xml:space="preserve">Бұйрыққа </w:t>
            </w:r>
            <w:r w:rsidR="008226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- қосымша</w:t>
            </w:r>
          </w:p>
        </w:tc>
      </w:tr>
    </w:tbl>
    <w:p w14:paraId="67A08057" w14:textId="77777777" w:rsidR="003A7CC3" w:rsidRPr="00C764B5" w:rsidRDefault="003A7CC3" w:rsidP="003A7CC3">
      <w:pPr>
        <w:spacing w:after="0" w:line="240" w:lineRule="auto"/>
        <w:ind w:left="6379"/>
        <w:jc w:val="center"/>
        <w:rPr>
          <w:sz w:val="28"/>
          <w:szCs w:val="28"/>
          <w:lang w:val="ru-RU"/>
        </w:rPr>
      </w:pPr>
    </w:p>
    <w:p w14:paraId="548520DA" w14:textId="4B9859CD" w:rsidR="00E07743" w:rsidRPr="00E07743" w:rsidRDefault="00441B9C" w:rsidP="00E07743">
      <w:pPr>
        <w:spacing w:after="0" w:line="240" w:lineRule="auto"/>
        <w:ind w:left="6237"/>
        <w:jc w:val="center"/>
        <w:rPr>
          <w:sz w:val="28"/>
          <w:szCs w:val="28"/>
          <w:lang w:val="kk-KZ"/>
        </w:rPr>
      </w:pPr>
      <w:r w:rsidRPr="00441B9C">
        <w:rPr>
          <w:bCs/>
          <w:sz w:val="28"/>
          <w:szCs w:val="28"/>
          <w:lang w:val="ru-RU"/>
        </w:rPr>
        <w:t>«Сәйкестік аудиті» ішкі мемлекеттік аудитінің және қаржылық бақылаудың рәсімдік стандартына</w:t>
      </w:r>
      <w:r w:rsidR="00E07743" w:rsidRPr="00E07743">
        <w:rPr>
          <w:sz w:val="28"/>
          <w:szCs w:val="28"/>
          <w:lang w:val="kk-KZ"/>
        </w:rPr>
        <w:br/>
      </w:r>
      <w:r w:rsidR="00E07743">
        <w:rPr>
          <w:sz w:val="28"/>
          <w:szCs w:val="28"/>
          <w:lang w:val="kk-KZ"/>
        </w:rPr>
        <w:t xml:space="preserve">2 </w:t>
      </w:r>
      <w:r w:rsidR="00E07743" w:rsidRPr="00E07743">
        <w:rPr>
          <w:sz w:val="28"/>
          <w:szCs w:val="28"/>
          <w:lang w:val="kk-KZ"/>
        </w:rPr>
        <w:t>-</w:t>
      </w:r>
      <w:r w:rsidR="00E07743">
        <w:rPr>
          <w:sz w:val="28"/>
          <w:szCs w:val="28"/>
          <w:lang w:val="kk-KZ"/>
        </w:rPr>
        <w:t xml:space="preserve"> </w:t>
      </w:r>
      <w:r w:rsidR="00E07743" w:rsidRPr="00E07743">
        <w:rPr>
          <w:sz w:val="28"/>
          <w:szCs w:val="28"/>
          <w:lang w:val="kk-KZ"/>
        </w:rPr>
        <w:t>қосымша</w:t>
      </w:r>
    </w:p>
    <w:p w14:paraId="42E30A8E" w14:textId="371FF983" w:rsidR="00743F8B" w:rsidRDefault="00743F8B" w:rsidP="00743F8B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p w14:paraId="60B3F3B9" w14:textId="314EA6BF" w:rsidR="00DB48AF" w:rsidRDefault="00DB48AF" w:rsidP="00743F8B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bookmarkEnd w:id="0"/>
    <w:bookmarkEnd w:id="1"/>
    <w:p w14:paraId="77A16C95" w14:textId="77777777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  <w:r w:rsidRPr="00441B9C">
        <w:rPr>
          <w:b/>
          <w:bCs/>
          <w:sz w:val="20"/>
          <w:szCs w:val="20"/>
          <w:lang w:val="kk-KZ"/>
        </w:rPr>
        <w:t>Бақылау құралдарының тәуекелін бағалау</w:t>
      </w:r>
    </w:p>
    <w:p w14:paraId="6D29B45A" w14:textId="1237686B" w:rsidR="004A23BF" w:rsidRDefault="004A23BF" w:rsidP="00E07743">
      <w:pPr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p w14:paraId="72AD8B9D" w14:textId="77777777" w:rsidR="00DB48AF" w:rsidRPr="004A23BF" w:rsidRDefault="00DB48AF" w:rsidP="00E07743">
      <w:pPr>
        <w:tabs>
          <w:tab w:val="left" w:pos="0"/>
        </w:tabs>
        <w:spacing w:after="0" w:line="240" w:lineRule="auto"/>
        <w:ind w:firstLine="709"/>
        <w:jc w:val="center"/>
        <w:rPr>
          <w:b/>
          <w:bCs/>
          <w:sz w:val="20"/>
          <w:szCs w:val="20"/>
          <w:lang w:val="kk-KZ"/>
        </w:rPr>
      </w:pPr>
    </w:p>
    <w:p w14:paraId="6B9655DD" w14:textId="664B4648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41B9C">
        <w:rPr>
          <w:sz w:val="20"/>
          <w:szCs w:val="20"/>
          <w:lang w:val="kk-KZ"/>
        </w:rPr>
        <w:t>Аудит объектісі _______________________________________________</w:t>
      </w:r>
    </w:p>
    <w:p w14:paraId="0168FAEC" w14:textId="70D41763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41B9C">
        <w:rPr>
          <w:sz w:val="20"/>
          <w:szCs w:val="20"/>
          <w:lang w:val="kk-KZ"/>
        </w:rPr>
        <w:t>Аудит кезеңі __________________________________________________</w:t>
      </w:r>
    </w:p>
    <w:p w14:paraId="336ED81F" w14:textId="13922C00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41B9C">
        <w:rPr>
          <w:sz w:val="20"/>
          <w:szCs w:val="20"/>
          <w:lang w:val="kk-KZ"/>
        </w:rPr>
        <w:t>Аудит жүргізу мерзімдері _______________________________________</w:t>
      </w:r>
    </w:p>
    <w:p w14:paraId="3E65F36E" w14:textId="69AEB95D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41B9C">
        <w:rPr>
          <w:sz w:val="20"/>
          <w:szCs w:val="20"/>
          <w:lang w:val="kk-KZ"/>
        </w:rPr>
        <w:t>Мемлекеттік аудитор ___________________________________________</w:t>
      </w:r>
    </w:p>
    <w:p w14:paraId="6838A3F4" w14:textId="6F0A1BEB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  <w:r w:rsidRPr="00441B9C">
        <w:rPr>
          <w:sz w:val="20"/>
          <w:szCs w:val="20"/>
          <w:lang w:val="kk-KZ"/>
        </w:rPr>
        <w:t>Мемлекеттік аудит тобының жетекшісі ____________________________</w:t>
      </w:r>
    </w:p>
    <w:p w14:paraId="5718D713" w14:textId="77777777" w:rsidR="00DB48AF" w:rsidRPr="00441B9C" w:rsidRDefault="00DB48AF" w:rsidP="00DB48AF">
      <w:pPr>
        <w:tabs>
          <w:tab w:val="left" w:pos="0"/>
        </w:tabs>
        <w:spacing w:after="0" w:line="240" w:lineRule="auto"/>
        <w:ind w:firstLine="709"/>
        <w:jc w:val="both"/>
        <w:rPr>
          <w:sz w:val="20"/>
          <w:szCs w:val="20"/>
          <w:lang w:val="kk-KZ"/>
        </w:rPr>
      </w:pPr>
    </w:p>
    <w:p w14:paraId="773C11A7" w14:textId="77777777" w:rsidR="00E07743" w:rsidRPr="00E07743" w:rsidRDefault="00E07743" w:rsidP="00E07743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kk-KZ"/>
        </w:rPr>
      </w:pPr>
    </w:p>
    <w:tbl>
      <w:tblPr>
        <w:tblW w:w="9179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4536"/>
        <w:gridCol w:w="1701"/>
        <w:gridCol w:w="1134"/>
        <w:gridCol w:w="1276"/>
      </w:tblGrid>
      <w:tr w:rsidR="001536DE" w:rsidRPr="00DB48AF" w14:paraId="5DDBFB21" w14:textId="1690A0D4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7E29E8" w14:textId="73E2CBE7" w:rsidR="001536DE" w:rsidRPr="005A3657" w:rsidRDefault="001536DE" w:rsidP="004C450E">
            <w:pPr>
              <w:spacing w:after="20"/>
              <w:ind w:left="20"/>
              <w:jc w:val="center"/>
              <w:rPr>
                <w:sz w:val="20"/>
                <w:szCs w:val="20"/>
                <w:lang w:val="kk-KZ"/>
              </w:rPr>
            </w:pPr>
            <w:r w:rsidRPr="001536DE">
              <w:rPr>
                <w:sz w:val="20"/>
                <w:szCs w:val="20"/>
              </w:rPr>
              <w:t>р\с</w:t>
            </w:r>
            <w:r w:rsidRPr="001536DE">
              <w:rPr>
                <w:sz w:val="20"/>
                <w:szCs w:val="20"/>
              </w:rPr>
              <w:br/>
              <w:t>№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586E1" w14:textId="77777777" w:rsidR="001536DE" w:rsidRPr="001536DE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1536DE">
              <w:rPr>
                <w:sz w:val="20"/>
                <w:szCs w:val="20"/>
                <w:lang w:val="ru-RU"/>
              </w:rPr>
              <w:t>Сұрақтар**</w:t>
            </w:r>
          </w:p>
          <w:p w14:paraId="411A8BF6" w14:textId="1E95A3B1" w:rsidR="001536DE" w:rsidRPr="005A3657" w:rsidRDefault="001536DE" w:rsidP="004C450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814B77" w14:textId="77777777" w:rsidR="001536DE" w:rsidRPr="001536DE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1536DE">
              <w:rPr>
                <w:sz w:val="20"/>
                <w:szCs w:val="20"/>
                <w:lang w:val="ru-RU"/>
              </w:rPr>
              <w:t>Жауап (иә/жоқ / жауап жоқ*)</w:t>
            </w:r>
          </w:p>
          <w:p w14:paraId="32783EAD" w14:textId="04C0E797" w:rsidR="001536DE" w:rsidRPr="005A3657" w:rsidRDefault="001536DE" w:rsidP="004C450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93250" w14:textId="281E39CF" w:rsidR="001536DE" w:rsidRPr="005A3657" w:rsidRDefault="001536DE" w:rsidP="004C450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1536DE">
              <w:rPr>
                <w:sz w:val="20"/>
                <w:szCs w:val="20"/>
              </w:rPr>
              <w:t>Ескертпе</w:t>
            </w:r>
          </w:p>
        </w:tc>
        <w:tc>
          <w:tcPr>
            <w:tcW w:w="1276" w:type="dxa"/>
          </w:tcPr>
          <w:p w14:paraId="7F205C1C" w14:textId="77777777" w:rsidR="001536DE" w:rsidRPr="001536DE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 w:rsidRPr="001536DE">
              <w:rPr>
                <w:sz w:val="20"/>
                <w:szCs w:val="20"/>
                <w:lang w:val="ru-RU"/>
              </w:rPr>
              <w:t>Нормативтік құқықтық актіге сілтеме</w:t>
            </w:r>
          </w:p>
          <w:p w14:paraId="4576ABF9" w14:textId="77777777" w:rsidR="001536DE" w:rsidRPr="001536DE" w:rsidRDefault="001536DE" w:rsidP="004C450E">
            <w:pPr>
              <w:spacing w:after="20"/>
              <w:ind w:left="20"/>
              <w:jc w:val="center"/>
              <w:rPr>
                <w:sz w:val="20"/>
                <w:szCs w:val="20"/>
              </w:rPr>
            </w:pPr>
          </w:p>
        </w:tc>
      </w:tr>
      <w:tr w:rsidR="001536DE" w:rsidRPr="005A3657" w14:paraId="6EB5CA6B" w14:textId="74B049D1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E198C" w14:textId="72C43898" w:rsidR="001536DE" w:rsidRPr="001536DE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E9880" w14:textId="1A955E63" w:rsidR="001536DE" w:rsidRPr="005A3657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52EEF" w14:textId="082542F3" w:rsidR="001536DE" w:rsidRPr="005A3657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5E9638" w14:textId="188623BF" w:rsidR="001536DE" w:rsidRPr="005A3657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</w:tcPr>
          <w:p w14:paraId="2A0CD961" w14:textId="6D160417" w:rsidR="001536DE" w:rsidRPr="005A3657" w:rsidRDefault="001536DE" w:rsidP="001536DE">
            <w:pPr>
              <w:spacing w:after="20"/>
              <w:ind w:left="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</w:tr>
      <w:tr w:rsidR="001536DE" w:rsidRPr="00B534F3" w14:paraId="17675393" w14:textId="49FC1ADB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3502C" w14:textId="560C8696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1F270B" w14:textId="7A7AF249" w:rsidR="001536DE" w:rsidRPr="005A3657" w:rsidRDefault="00341C87" w:rsidP="00341C87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Құжаттар операция жасалған күні жасалады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A558BD" w14:textId="77777777" w:rsidR="001536DE" w:rsidRPr="005A3657" w:rsidRDefault="001536DE" w:rsidP="00341C87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D75A6" w14:textId="77777777" w:rsidR="001536DE" w:rsidRPr="005A3657" w:rsidRDefault="001536DE" w:rsidP="00341C87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679F1B5F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36DE" w:rsidRPr="00B534F3" w14:paraId="196E13B2" w14:textId="5DEA0738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DE1F3" w14:textId="010A2773" w:rsidR="001536DE" w:rsidRPr="005A3657" w:rsidRDefault="001536DE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36D80" w14:textId="7E75F3E6" w:rsidR="001536DE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Қойма үй-жайлары бөгде адамдардың қол жеткізуінен қорғалған ба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27FA7" w14:textId="77777777" w:rsidR="001536DE" w:rsidRPr="005A3657" w:rsidRDefault="001536DE" w:rsidP="00341C87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BF7EBE" w14:textId="77777777" w:rsidR="001536DE" w:rsidRPr="005A3657" w:rsidRDefault="001536DE" w:rsidP="00341C87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7623C4E9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36DE" w:rsidRPr="00B534F3" w14:paraId="0E8B948E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1C4FF" w14:textId="6F6485AB" w:rsidR="001536DE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F2ED1" w14:textId="23A4DB71" w:rsidR="001536DE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Түгендеу жүргізу күніне материалдық жауапты адамдардың есептері құрастырыла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135E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27D856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16A33742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536DE" w:rsidRPr="00B534F3" w14:paraId="7147FEBD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FB99E5" w14:textId="1B076E97" w:rsidR="001536DE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4BE6C5" w14:textId="068336A0" w:rsidR="001536DE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Барлық міндетті деректемелер бухгалтерлік есеп тіркелімдерінде толтырыла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0E1B7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014A2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7A6434BC" w14:textId="77777777" w:rsidR="001536DE" w:rsidRPr="005A3657" w:rsidRDefault="001536DE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55C35558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22FCD" w14:textId="7CA06E7A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50B56C" w14:textId="72D350EB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Материалдық жауапты адамдар есептерінің деректері бастапқы құжаттардың деректерімен салыстырыла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4CC3EE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5572E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54EE51C2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49B9DE7F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41C8F8" w14:textId="78E71A94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7B321" w14:textId="2FD43B70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Материалдық құндылықтардың жетіспеуіне (артылуына) кінәлі адамдар анықтала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2FCC16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52C53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07725F2C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6B711905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16CEA" w14:textId="1D89CA18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C3C34" w14:textId="7BF8F919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Мемориалдық ордерлердің деректерін "Бас журнал" кітабымен салыстырып тексеру жүргізіле ме (есепке алу автоматтандырылмаған кезде)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E5FA5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82518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73F3CFA0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6E3E1587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6CB2" w14:textId="7C742784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BFC4D3" w14:textId="197923E1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Ішкі аудит қызметтері құрылды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EBC86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353C4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10718669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03A60258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58930" w14:textId="611F9FF0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9CD5E6" w14:textId="57622283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Ішкі аудит қызметі туралы бекітілген ереже бар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69BC3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2856C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0FD54433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0049E502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12D891" w14:textId="2DE2E91F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B29AA" w14:textId="6AD2E922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Бекітілген Ішкі аудит қызметін тексеру жоспары мен бағдарламасы бар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A2351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39BBFC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1BED790F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56E18B0E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F9486" w14:textId="260FB110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319C57" w14:textId="3846AC9F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Ішкі аудит қызметі жүргізген тексерулердің нәтижелерін көрсететін тексеру актілері бар ма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79044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678AA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3FFFE42E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B534F3" w14:paraId="7DE42DA8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3700A" w14:textId="3AC2839B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12.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DE9A0" w14:textId="0A591F90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Ішкі аудит қызметімен тексерулер жүргізу реттеле ме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88F98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698658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6453CCC9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341C87" w14:paraId="265FF0C9" w14:textId="77777777" w:rsidTr="001536DE">
        <w:trPr>
          <w:trHeight w:val="30"/>
        </w:trPr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F8BEC" w14:textId="67998B2F" w:rsidR="00341C87" w:rsidRDefault="00341C87" w:rsidP="001536DE">
            <w:pPr>
              <w:spacing w:after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45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7EAF3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D3CD2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34E9B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282B7623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341C87" w14:paraId="16ADE97F" w14:textId="77777777" w:rsidTr="00B33858">
        <w:trPr>
          <w:trHeight w:val="30"/>
        </w:trPr>
        <w:tc>
          <w:tcPr>
            <w:tcW w:w="506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D3FED8" w14:textId="28C7C93F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 w:rsidRPr="00341C87">
              <w:rPr>
                <w:sz w:val="20"/>
                <w:szCs w:val="20"/>
                <w:lang w:val="ru-RU"/>
              </w:rPr>
              <w:t>Қорытынды баға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46189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7EA008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14:paraId="2FCE415A" w14:textId="77777777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41C87" w:rsidRPr="00341C87" w14:paraId="76EBD779" w14:textId="77777777" w:rsidTr="00474D2F">
        <w:trPr>
          <w:trHeight w:val="30"/>
        </w:trPr>
        <w:tc>
          <w:tcPr>
            <w:tcW w:w="91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128ED" w14:textId="7AC9F250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Pr="00341C87">
              <w:rPr>
                <w:sz w:val="20"/>
                <w:szCs w:val="20"/>
                <w:lang w:val="ru-RU"/>
              </w:rPr>
              <w:t>Иә</w:t>
            </w:r>
            <w:r>
              <w:rPr>
                <w:sz w:val="20"/>
                <w:szCs w:val="20"/>
                <w:lang w:val="ru-RU"/>
              </w:rPr>
              <w:t>»</w:t>
            </w:r>
            <w:r w:rsidRPr="00341C87">
              <w:rPr>
                <w:sz w:val="20"/>
                <w:szCs w:val="20"/>
                <w:lang w:val="ru-RU"/>
              </w:rPr>
              <w:t xml:space="preserve"> -</w:t>
            </w:r>
          </w:p>
        </w:tc>
      </w:tr>
      <w:tr w:rsidR="00341C87" w:rsidRPr="00341C87" w14:paraId="27718A96" w14:textId="77777777" w:rsidTr="00005FF8">
        <w:trPr>
          <w:trHeight w:val="30"/>
        </w:trPr>
        <w:tc>
          <w:tcPr>
            <w:tcW w:w="91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A2745" w14:textId="3366D986" w:rsidR="00341C87" w:rsidRPr="005A3657" w:rsidRDefault="00341C87" w:rsidP="00341C87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Pr="00341C87">
              <w:rPr>
                <w:sz w:val="20"/>
                <w:szCs w:val="20"/>
                <w:lang w:val="ru-RU"/>
              </w:rPr>
              <w:t>Жоқ</w:t>
            </w:r>
            <w:r>
              <w:rPr>
                <w:sz w:val="20"/>
                <w:szCs w:val="20"/>
                <w:lang w:val="ru-RU"/>
              </w:rPr>
              <w:t>»</w:t>
            </w:r>
            <w:r w:rsidRPr="00341C87">
              <w:rPr>
                <w:sz w:val="20"/>
                <w:szCs w:val="20"/>
                <w:lang w:val="ru-RU"/>
              </w:rPr>
              <w:t xml:space="preserve"> -</w:t>
            </w:r>
          </w:p>
        </w:tc>
      </w:tr>
      <w:tr w:rsidR="00341C87" w:rsidRPr="00341C87" w14:paraId="1C7B5A8B" w14:textId="77777777" w:rsidTr="00252B5D">
        <w:trPr>
          <w:trHeight w:val="30"/>
        </w:trPr>
        <w:tc>
          <w:tcPr>
            <w:tcW w:w="91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65659" w14:textId="2A3CD782" w:rsidR="00341C87" w:rsidRPr="005A3657" w:rsidRDefault="00341C87" w:rsidP="004C450E">
            <w:pPr>
              <w:spacing w:after="20"/>
              <w:ind w:left="2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«</w:t>
            </w:r>
            <w:r w:rsidRPr="00341C87">
              <w:rPr>
                <w:sz w:val="20"/>
                <w:szCs w:val="20"/>
              </w:rPr>
              <w:t>Жауап жоқ</w:t>
            </w:r>
            <w:r>
              <w:rPr>
                <w:sz w:val="20"/>
                <w:szCs w:val="20"/>
                <w:lang w:val="ru-RU"/>
              </w:rPr>
              <w:t>»</w:t>
            </w:r>
            <w:r w:rsidRPr="00341C87">
              <w:rPr>
                <w:sz w:val="20"/>
                <w:szCs w:val="20"/>
              </w:rPr>
              <w:t xml:space="preserve"> -</w:t>
            </w:r>
          </w:p>
        </w:tc>
      </w:tr>
    </w:tbl>
    <w:p w14:paraId="4B893EFC" w14:textId="77777777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Бақылау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құралдарының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тәуекел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деңгейін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анықтау</w:t>
      </w:r>
      <w:r w:rsidRPr="00441B9C">
        <w:rPr>
          <w:sz w:val="20"/>
          <w:szCs w:val="20"/>
        </w:rPr>
        <w:t>:</w:t>
      </w:r>
    </w:p>
    <w:p w14:paraId="6B4221CF" w14:textId="5B03B682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төмен</w:t>
      </w:r>
      <w:r w:rsidRPr="00441B9C">
        <w:rPr>
          <w:sz w:val="20"/>
          <w:szCs w:val="20"/>
        </w:rPr>
        <w:t xml:space="preserve"> - 0% - 29%;</w:t>
      </w:r>
    </w:p>
    <w:p w14:paraId="6318015A" w14:textId="387D911D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орташа</w:t>
      </w:r>
      <w:r w:rsidRPr="00441B9C">
        <w:rPr>
          <w:sz w:val="20"/>
          <w:szCs w:val="20"/>
        </w:rPr>
        <w:t xml:space="preserve"> – 30% - 69%;</w:t>
      </w:r>
    </w:p>
    <w:p w14:paraId="2AF8BCFA" w14:textId="4434D0FD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жоғары</w:t>
      </w:r>
      <w:r w:rsidRPr="00441B9C">
        <w:rPr>
          <w:sz w:val="20"/>
          <w:szCs w:val="20"/>
        </w:rPr>
        <w:t xml:space="preserve"> – 70% - 100%.</w:t>
      </w:r>
    </w:p>
    <w:p w14:paraId="23769026" w14:textId="39425061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Ескертпе</w:t>
      </w:r>
      <w:r w:rsidRPr="00441B9C">
        <w:rPr>
          <w:sz w:val="20"/>
          <w:szCs w:val="20"/>
        </w:rPr>
        <w:t xml:space="preserve">: </w:t>
      </w:r>
      <w:r w:rsidRPr="00341C87">
        <w:rPr>
          <w:sz w:val="20"/>
          <w:szCs w:val="20"/>
          <w:lang w:val="ru-RU"/>
        </w:rPr>
        <w:t>Мәселелер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тізбесі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түпкілікті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болып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табылмайды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және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аудит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объектісі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қызметінің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ерекшеліктеріне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сүйене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отырып</w:t>
      </w:r>
      <w:r w:rsidRPr="00441B9C">
        <w:rPr>
          <w:sz w:val="20"/>
          <w:szCs w:val="20"/>
        </w:rPr>
        <w:t xml:space="preserve">, </w:t>
      </w:r>
      <w:r w:rsidRPr="00341C87">
        <w:rPr>
          <w:sz w:val="20"/>
          <w:szCs w:val="20"/>
          <w:lang w:val="ru-RU"/>
        </w:rPr>
        <w:t>мемлекеттік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аудитормен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толықтырылады</w:t>
      </w:r>
      <w:r w:rsidRPr="00441B9C">
        <w:rPr>
          <w:sz w:val="20"/>
          <w:szCs w:val="20"/>
        </w:rPr>
        <w:t xml:space="preserve">. </w:t>
      </w:r>
      <w:r w:rsidRPr="00341C87">
        <w:rPr>
          <w:sz w:val="20"/>
          <w:szCs w:val="20"/>
          <w:lang w:val="ru-RU"/>
        </w:rPr>
        <w:t>Әрбір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тест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сұрағына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тиісті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жауап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қойылады</w:t>
      </w:r>
      <w:r w:rsidRPr="00441B9C">
        <w:rPr>
          <w:sz w:val="20"/>
          <w:szCs w:val="20"/>
        </w:rPr>
        <w:t xml:space="preserve">. </w:t>
      </w:r>
      <w:r w:rsidRPr="00341C87">
        <w:rPr>
          <w:sz w:val="20"/>
          <w:szCs w:val="20"/>
          <w:lang w:val="ru-RU"/>
        </w:rPr>
        <w:t>Ескертпеде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әрбір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жауап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бойынша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түсініктеме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жазылады</w:t>
      </w:r>
      <w:r w:rsidRPr="00441B9C">
        <w:rPr>
          <w:sz w:val="20"/>
          <w:szCs w:val="20"/>
        </w:rPr>
        <w:t xml:space="preserve"> (</w:t>
      </w:r>
      <w:r w:rsidRPr="00341C87">
        <w:rPr>
          <w:sz w:val="20"/>
          <w:szCs w:val="20"/>
          <w:lang w:val="ru-RU"/>
        </w:rPr>
        <w:t>қажет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болса</w:t>
      </w:r>
      <w:r w:rsidRPr="00441B9C">
        <w:rPr>
          <w:sz w:val="20"/>
          <w:szCs w:val="20"/>
        </w:rPr>
        <w:t xml:space="preserve">) </w:t>
      </w:r>
      <w:r w:rsidRPr="00341C87">
        <w:rPr>
          <w:sz w:val="20"/>
          <w:szCs w:val="20"/>
          <w:lang w:val="ru-RU"/>
        </w:rPr>
        <w:t>және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жауапты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растайтын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құжаттардың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көшірмелері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қоса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беріледі</w:t>
      </w:r>
      <w:r w:rsidRPr="00441B9C">
        <w:rPr>
          <w:sz w:val="20"/>
          <w:szCs w:val="20"/>
        </w:rPr>
        <w:t>.</w:t>
      </w:r>
    </w:p>
    <w:p w14:paraId="1684C6AB" w14:textId="091F0E87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Бақылау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құралдарының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тәуекелін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бағалау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ұсынылған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сұрақтар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тізбесінен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шартты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теріс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жауаптардың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пайыздық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үлесін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айқындау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жолымен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жүргізіледі</w:t>
      </w:r>
      <w:r w:rsidRPr="00441B9C">
        <w:rPr>
          <w:sz w:val="20"/>
          <w:szCs w:val="20"/>
        </w:rPr>
        <w:t>. «</w:t>
      </w:r>
      <w:r w:rsidRPr="00341C87">
        <w:rPr>
          <w:sz w:val="20"/>
          <w:szCs w:val="20"/>
          <w:lang w:val="ru-RU"/>
        </w:rPr>
        <w:t>Жауап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жоқ</w:t>
      </w:r>
      <w:r w:rsidRPr="00441B9C">
        <w:rPr>
          <w:sz w:val="20"/>
          <w:szCs w:val="20"/>
        </w:rPr>
        <w:t xml:space="preserve">» </w:t>
      </w:r>
      <w:r w:rsidRPr="00341C87">
        <w:rPr>
          <w:sz w:val="20"/>
          <w:szCs w:val="20"/>
          <w:lang w:val="ru-RU"/>
        </w:rPr>
        <w:t>нұсқасы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болған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кезде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осы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сұрақ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тәуекелді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бағалау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сұрақтарының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жиынтығына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енгізілмейді</w:t>
      </w:r>
      <w:r w:rsidRPr="00441B9C">
        <w:rPr>
          <w:sz w:val="20"/>
          <w:szCs w:val="20"/>
        </w:rPr>
        <w:t>.</w:t>
      </w:r>
    </w:p>
    <w:p w14:paraId="7EC63ED2" w14:textId="1C9C718C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Сұрақтарға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жауаптар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бақылау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құралдарының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тәуекелін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бағалаудың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төмендеуін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көрсетеді</w:t>
      </w:r>
      <w:r w:rsidRPr="00441B9C">
        <w:rPr>
          <w:sz w:val="20"/>
          <w:szCs w:val="20"/>
        </w:rPr>
        <w:t>.</w:t>
      </w:r>
    </w:p>
    <w:p w14:paraId="1665010B" w14:textId="38BCC53A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341C87">
        <w:rPr>
          <w:sz w:val="20"/>
          <w:szCs w:val="20"/>
          <w:lang w:val="ru-RU"/>
        </w:rPr>
        <w:t>Егер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бухгалтерлік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есепті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ұйымдастыру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және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ішкі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бақылау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жүйесі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тиімсіз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болып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табылса</w:t>
      </w:r>
      <w:r w:rsidRPr="00441B9C">
        <w:rPr>
          <w:sz w:val="20"/>
          <w:szCs w:val="20"/>
        </w:rPr>
        <w:t xml:space="preserve">, </w:t>
      </w:r>
      <w:r w:rsidRPr="00341C87">
        <w:rPr>
          <w:sz w:val="20"/>
          <w:szCs w:val="20"/>
          <w:lang w:val="ru-RU"/>
        </w:rPr>
        <w:t>ішкі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бақылау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жүйесінің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тәуекелін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бағалау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жоғары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деп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бағаланады</w:t>
      </w:r>
      <w:r w:rsidRPr="00441B9C">
        <w:rPr>
          <w:sz w:val="20"/>
          <w:szCs w:val="20"/>
        </w:rPr>
        <w:t>.</w:t>
      </w:r>
    </w:p>
    <w:p w14:paraId="3BE5B520" w14:textId="24C027F7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441B9C">
        <w:rPr>
          <w:sz w:val="20"/>
          <w:szCs w:val="20"/>
        </w:rPr>
        <w:t>*</w:t>
      </w:r>
      <w:r w:rsidRPr="00341C87">
        <w:rPr>
          <w:sz w:val="20"/>
          <w:szCs w:val="20"/>
          <w:lang w:val="ru-RU"/>
        </w:rPr>
        <w:t>Егер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осы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мәселеге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байланысты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операциялар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аудит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объектісінің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есебінде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орын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алмаған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жағдайда</w:t>
      </w:r>
      <w:r w:rsidRPr="00441B9C">
        <w:rPr>
          <w:sz w:val="20"/>
          <w:szCs w:val="20"/>
        </w:rPr>
        <w:t xml:space="preserve"> «</w:t>
      </w:r>
      <w:r w:rsidRPr="00341C87">
        <w:rPr>
          <w:sz w:val="20"/>
          <w:szCs w:val="20"/>
          <w:lang w:val="ru-RU"/>
        </w:rPr>
        <w:t>Жауап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жоқ</w:t>
      </w:r>
      <w:r w:rsidRPr="00441B9C">
        <w:rPr>
          <w:sz w:val="20"/>
          <w:szCs w:val="20"/>
        </w:rPr>
        <w:t xml:space="preserve">» </w:t>
      </w:r>
      <w:r w:rsidRPr="00341C87">
        <w:rPr>
          <w:sz w:val="20"/>
          <w:szCs w:val="20"/>
          <w:lang w:val="ru-RU"/>
        </w:rPr>
        <w:t>деген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жауап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таңдалады</w:t>
      </w:r>
      <w:r w:rsidRPr="00441B9C">
        <w:rPr>
          <w:sz w:val="20"/>
          <w:szCs w:val="20"/>
        </w:rPr>
        <w:t>.</w:t>
      </w:r>
    </w:p>
    <w:p w14:paraId="766253F4" w14:textId="07CABAF8" w:rsidR="00341C87" w:rsidRPr="00441B9C" w:rsidRDefault="00341C87" w:rsidP="00341C87">
      <w:pPr>
        <w:spacing w:after="0" w:line="240" w:lineRule="auto"/>
        <w:ind w:firstLine="709"/>
        <w:rPr>
          <w:sz w:val="20"/>
          <w:szCs w:val="20"/>
        </w:rPr>
      </w:pPr>
      <w:r w:rsidRPr="00441B9C">
        <w:rPr>
          <w:sz w:val="20"/>
          <w:szCs w:val="20"/>
        </w:rPr>
        <w:t>**</w:t>
      </w:r>
      <w:r w:rsidRPr="00341C87">
        <w:rPr>
          <w:sz w:val="20"/>
          <w:szCs w:val="20"/>
          <w:lang w:val="ru-RU"/>
        </w:rPr>
        <w:t>Сұрақтар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мемлекеттік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аудит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объектісі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қызметінің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ерекшелігіне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байланысты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жасалады</w:t>
      </w:r>
      <w:r w:rsidRPr="00441B9C">
        <w:rPr>
          <w:sz w:val="20"/>
          <w:szCs w:val="20"/>
        </w:rPr>
        <w:t>.</w:t>
      </w:r>
    </w:p>
    <w:p w14:paraId="67382640" w14:textId="77777777" w:rsidR="009D5E0B" w:rsidRPr="00D23E11" w:rsidRDefault="00341C87" w:rsidP="009D5E0B">
      <w:pPr>
        <w:spacing w:after="0"/>
        <w:ind w:firstLine="709"/>
        <w:rPr>
          <w:lang w:val="kk-KZ"/>
        </w:rPr>
      </w:pPr>
      <w:r w:rsidRPr="00341C87">
        <w:rPr>
          <w:sz w:val="20"/>
          <w:szCs w:val="20"/>
          <w:lang w:val="ru-RU"/>
        </w:rPr>
        <w:t>Мемлекеттік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аудитор</w:t>
      </w:r>
      <w:r w:rsidRPr="00441B9C">
        <w:rPr>
          <w:sz w:val="20"/>
          <w:szCs w:val="20"/>
        </w:rPr>
        <w:t xml:space="preserve">: ___________ _________________________________ </w:t>
      </w:r>
      <w:r w:rsidRPr="00441B9C">
        <w:rPr>
          <w:sz w:val="20"/>
          <w:szCs w:val="20"/>
        </w:rPr>
        <w:br/>
      </w:r>
      <w:r w:rsidRPr="00341C87">
        <w:rPr>
          <w:sz w:val="20"/>
          <w:szCs w:val="20"/>
          <w:lang w:val="ru-RU"/>
        </w:rPr>
        <w:t>қолы</w:t>
      </w:r>
      <w:r w:rsidRPr="00441B9C">
        <w:rPr>
          <w:sz w:val="20"/>
          <w:szCs w:val="20"/>
        </w:rPr>
        <w:t xml:space="preserve"> (</w:t>
      </w:r>
      <w:r w:rsidRPr="00341C87">
        <w:rPr>
          <w:sz w:val="20"/>
          <w:szCs w:val="20"/>
          <w:lang w:val="ru-RU"/>
        </w:rPr>
        <w:t>тегі</w:t>
      </w:r>
      <w:r w:rsidRPr="00441B9C">
        <w:rPr>
          <w:sz w:val="20"/>
          <w:szCs w:val="20"/>
        </w:rPr>
        <w:t xml:space="preserve">, </w:t>
      </w:r>
      <w:r w:rsidRPr="00341C87">
        <w:rPr>
          <w:sz w:val="20"/>
          <w:szCs w:val="20"/>
          <w:lang w:val="ru-RU"/>
        </w:rPr>
        <w:t>аты</w:t>
      </w:r>
      <w:r w:rsidRPr="00441B9C">
        <w:rPr>
          <w:sz w:val="20"/>
          <w:szCs w:val="20"/>
        </w:rPr>
        <w:t xml:space="preserve">, </w:t>
      </w:r>
      <w:r w:rsidRPr="00341C87">
        <w:rPr>
          <w:sz w:val="20"/>
          <w:szCs w:val="20"/>
          <w:lang w:val="ru-RU"/>
        </w:rPr>
        <w:t>әкесінің</w:t>
      </w:r>
      <w:r w:rsidRPr="00441B9C">
        <w:rPr>
          <w:sz w:val="20"/>
          <w:szCs w:val="20"/>
        </w:rPr>
        <w:t xml:space="preserve"> </w:t>
      </w:r>
      <w:r w:rsidRPr="00341C87">
        <w:rPr>
          <w:sz w:val="20"/>
          <w:szCs w:val="20"/>
          <w:lang w:val="ru-RU"/>
        </w:rPr>
        <w:t>аты</w:t>
      </w:r>
      <w:r w:rsidRPr="00441B9C">
        <w:rPr>
          <w:sz w:val="20"/>
          <w:szCs w:val="20"/>
        </w:rPr>
        <w:t xml:space="preserve"> </w:t>
      </w:r>
      <w:r w:rsidR="009D5E0B" w:rsidRPr="00D23E11">
        <w:rPr>
          <w:sz w:val="20"/>
          <w:szCs w:val="20"/>
          <w:lang w:val="kk-KZ"/>
        </w:rPr>
        <w:t>(ол болған жағдайда)</w:t>
      </w:r>
    </w:p>
    <w:p w14:paraId="4E95B063" w14:textId="056151F5" w:rsidR="00341C87" w:rsidRPr="00341C87" w:rsidRDefault="00341C87" w:rsidP="00341C87">
      <w:pPr>
        <w:spacing w:after="0" w:line="240" w:lineRule="auto"/>
        <w:ind w:firstLine="709"/>
        <w:rPr>
          <w:sz w:val="20"/>
          <w:szCs w:val="20"/>
          <w:lang w:val="kk-KZ"/>
        </w:rPr>
      </w:pPr>
      <w:r w:rsidRPr="00D23E11">
        <w:rPr>
          <w:sz w:val="20"/>
          <w:szCs w:val="20"/>
          <w:lang w:val="kk-KZ"/>
        </w:rPr>
        <w:t xml:space="preserve">Мемлекеттік аудит тобының жетекшісі: ____________________________________________ </w:t>
      </w:r>
      <w:r w:rsidRPr="00D23E11">
        <w:rPr>
          <w:sz w:val="20"/>
          <w:szCs w:val="20"/>
          <w:lang w:val="kk-KZ"/>
        </w:rPr>
        <w:br/>
        <w:t xml:space="preserve">қолы (тегі, аты, әкесінің аты </w:t>
      </w:r>
      <w:r w:rsidR="009D5E0B" w:rsidRPr="00D23E11">
        <w:rPr>
          <w:sz w:val="20"/>
          <w:szCs w:val="20"/>
          <w:lang w:val="kk-KZ"/>
        </w:rPr>
        <w:t>(ол болған жағдайда)</w:t>
      </w:r>
      <w:r w:rsidRPr="00D23E11">
        <w:rPr>
          <w:sz w:val="20"/>
          <w:szCs w:val="20"/>
          <w:lang w:val="kk-KZ"/>
        </w:rPr>
        <w:br/>
      </w:r>
      <w:r w:rsidRPr="00341C87">
        <w:rPr>
          <w:sz w:val="20"/>
          <w:szCs w:val="20"/>
          <w:lang w:val="kk-KZ"/>
        </w:rPr>
        <w:br/>
        <w:t xml:space="preserve">20 ___ жылғы </w:t>
      </w:r>
      <w:r w:rsidRPr="009D5E0B">
        <w:rPr>
          <w:sz w:val="20"/>
          <w:szCs w:val="20"/>
          <w:lang w:val="kk-KZ"/>
        </w:rPr>
        <w:t>«</w:t>
      </w:r>
      <w:r w:rsidRPr="00341C87">
        <w:rPr>
          <w:sz w:val="20"/>
          <w:szCs w:val="20"/>
          <w:lang w:val="kk-KZ"/>
        </w:rPr>
        <w:t>__</w:t>
      </w:r>
      <w:r w:rsidRPr="009D5E0B">
        <w:rPr>
          <w:sz w:val="20"/>
          <w:szCs w:val="20"/>
          <w:lang w:val="kk-KZ"/>
        </w:rPr>
        <w:t>»</w:t>
      </w:r>
      <w:r w:rsidRPr="00341C87">
        <w:rPr>
          <w:sz w:val="20"/>
          <w:szCs w:val="20"/>
          <w:lang w:val="kk-KZ"/>
        </w:rPr>
        <w:t xml:space="preserve"> _______________</w:t>
      </w:r>
    </w:p>
    <w:p w14:paraId="4F55C1ED" w14:textId="77777777" w:rsidR="00E07743" w:rsidRPr="009D5E0B" w:rsidRDefault="00E07743" w:rsidP="00E07743">
      <w:pPr>
        <w:spacing w:after="0" w:line="240" w:lineRule="auto"/>
        <w:ind w:firstLine="709"/>
        <w:rPr>
          <w:sz w:val="20"/>
          <w:szCs w:val="20"/>
          <w:lang w:val="kk-KZ"/>
        </w:rPr>
      </w:pPr>
    </w:p>
    <w:p w14:paraId="27FD79AA" w14:textId="77777777" w:rsidR="00E07743" w:rsidRPr="009D5E0B" w:rsidRDefault="00E07743" w:rsidP="00E07743">
      <w:pPr>
        <w:spacing w:after="0" w:line="240" w:lineRule="auto"/>
        <w:ind w:firstLine="709"/>
        <w:jc w:val="both"/>
        <w:rPr>
          <w:sz w:val="20"/>
          <w:szCs w:val="20"/>
          <w:lang w:val="kk-KZ"/>
        </w:rPr>
      </w:pPr>
    </w:p>
    <w:p w14:paraId="42313D0F" w14:textId="77777777" w:rsidR="00E07743" w:rsidRPr="009D5E0B" w:rsidRDefault="00E07743" w:rsidP="00E07743">
      <w:pPr>
        <w:spacing w:after="0" w:line="240" w:lineRule="auto"/>
        <w:ind w:left="6379"/>
        <w:jc w:val="center"/>
        <w:rPr>
          <w:sz w:val="20"/>
          <w:szCs w:val="20"/>
          <w:lang w:val="kk-KZ"/>
        </w:rPr>
      </w:pPr>
    </w:p>
    <w:p w14:paraId="0BDA74E6" w14:textId="77777777" w:rsidR="00743F8B" w:rsidRPr="009D5E0B" w:rsidRDefault="00743F8B" w:rsidP="00743F8B">
      <w:pPr>
        <w:spacing w:after="0" w:line="240" w:lineRule="auto"/>
        <w:ind w:firstLine="709"/>
        <w:jc w:val="both"/>
        <w:rPr>
          <w:color w:val="000000"/>
          <w:sz w:val="20"/>
          <w:szCs w:val="20"/>
          <w:lang w:val="kk-KZ"/>
        </w:rPr>
      </w:pPr>
    </w:p>
    <w:p w14:paraId="69631151" w14:textId="77777777" w:rsidR="007B4D6E" w:rsidRPr="009D5E0B" w:rsidRDefault="007B4D6E" w:rsidP="0000482B">
      <w:pPr>
        <w:spacing w:after="0" w:line="240" w:lineRule="auto"/>
        <w:rPr>
          <w:b/>
          <w:sz w:val="20"/>
          <w:szCs w:val="20"/>
          <w:lang w:val="kk-KZ" w:eastAsia="ru-RU"/>
        </w:rPr>
      </w:pPr>
    </w:p>
    <w:sectPr w:rsidR="007B4D6E" w:rsidRPr="009D5E0B" w:rsidSect="00606AE1">
      <w:headerReference w:type="default" r:id="rId7"/>
      <w:pgSz w:w="11907" w:h="16839" w:code="9"/>
      <w:pgMar w:top="1418" w:right="851" w:bottom="1418" w:left="1418" w:header="1417" w:footer="1417" w:gutter="0"/>
      <w:pgNumType w:start="1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EA912" w14:textId="77777777" w:rsidR="006C60A0" w:rsidRDefault="006C60A0" w:rsidP="00F936C5">
      <w:pPr>
        <w:spacing w:after="0" w:line="240" w:lineRule="auto"/>
      </w:pPr>
      <w:r>
        <w:separator/>
      </w:r>
    </w:p>
  </w:endnote>
  <w:endnote w:type="continuationSeparator" w:id="0">
    <w:p w14:paraId="5BC70D53" w14:textId="77777777" w:rsidR="006C60A0" w:rsidRDefault="006C60A0" w:rsidP="00F9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37D5B" w14:textId="77777777" w:rsidR="006C60A0" w:rsidRDefault="006C60A0" w:rsidP="00F936C5">
      <w:pPr>
        <w:spacing w:after="0" w:line="240" w:lineRule="auto"/>
      </w:pPr>
      <w:r>
        <w:separator/>
      </w:r>
    </w:p>
  </w:footnote>
  <w:footnote w:type="continuationSeparator" w:id="0">
    <w:p w14:paraId="3BD96472" w14:textId="77777777" w:rsidR="006C60A0" w:rsidRDefault="006C60A0" w:rsidP="00F93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2350481"/>
      <w:docPartObj>
        <w:docPartGallery w:val="Page Numbers (Top of Page)"/>
        <w:docPartUnique/>
      </w:docPartObj>
    </w:sdtPr>
    <w:sdtEndPr/>
    <w:sdtContent>
      <w:p w14:paraId="2C616C4B" w14:textId="5FF59ED8" w:rsidR="00606AE1" w:rsidRDefault="00606A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807"/>
    <w:rsid w:val="0000482B"/>
    <w:rsid w:val="000120C0"/>
    <w:rsid w:val="00020F24"/>
    <w:rsid w:val="0003396A"/>
    <w:rsid w:val="00036E79"/>
    <w:rsid w:val="00065807"/>
    <w:rsid w:val="000773B7"/>
    <w:rsid w:val="00085468"/>
    <w:rsid w:val="00090825"/>
    <w:rsid w:val="000916C7"/>
    <w:rsid w:val="000B542E"/>
    <w:rsid w:val="000B6C99"/>
    <w:rsid w:val="000B6FC7"/>
    <w:rsid w:val="000D1DD6"/>
    <w:rsid w:val="000D3933"/>
    <w:rsid w:val="000D5777"/>
    <w:rsid w:val="000D78D4"/>
    <w:rsid w:val="000E02F7"/>
    <w:rsid w:val="000F01EE"/>
    <w:rsid w:val="000F5EEE"/>
    <w:rsid w:val="00106EDB"/>
    <w:rsid w:val="001178B3"/>
    <w:rsid w:val="00121130"/>
    <w:rsid w:val="00124D49"/>
    <w:rsid w:val="00134DC0"/>
    <w:rsid w:val="0013641F"/>
    <w:rsid w:val="00150E18"/>
    <w:rsid w:val="00151F5A"/>
    <w:rsid w:val="001536DE"/>
    <w:rsid w:val="00165835"/>
    <w:rsid w:val="0016776A"/>
    <w:rsid w:val="00177B2E"/>
    <w:rsid w:val="001820E2"/>
    <w:rsid w:val="00183348"/>
    <w:rsid w:val="00186044"/>
    <w:rsid w:val="00194029"/>
    <w:rsid w:val="001959C6"/>
    <w:rsid w:val="001B043E"/>
    <w:rsid w:val="001B6F52"/>
    <w:rsid w:val="001C4D24"/>
    <w:rsid w:val="001D1FA8"/>
    <w:rsid w:val="001D2A3F"/>
    <w:rsid w:val="001E52CC"/>
    <w:rsid w:val="001E5FC3"/>
    <w:rsid w:val="001E6119"/>
    <w:rsid w:val="001F12C8"/>
    <w:rsid w:val="001F5501"/>
    <w:rsid w:val="0020380F"/>
    <w:rsid w:val="0020604E"/>
    <w:rsid w:val="00213E1C"/>
    <w:rsid w:val="00223ACC"/>
    <w:rsid w:val="0022606D"/>
    <w:rsid w:val="00231CCC"/>
    <w:rsid w:val="002369E3"/>
    <w:rsid w:val="00247C55"/>
    <w:rsid w:val="002500D3"/>
    <w:rsid w:val="00251E94"/>
    <w:rsid w:val="00254C54"/>
    <w:rsid w:val="0025753A"/>
    <w:rsid w:val="002634D2"/>
    <w:rsid w:val="002641C3"/>
    <w:rsid w:val="0027782A"/>
    <w:rsid w:val="0029550D"/>
    <w:rsid w:val="00297A14"/>
    <w:rsid w:val="002A00B4"/>
    <w:rsid w:val="002A06F9"/>
    <w:rsid w:val="002A3901"/>
    <w:rsid w:val="002A4DD5"/>
    <w:rsid w:val="002A501D"/>
    <w:rsid w:val="002B19EE"/>
    <w:rsid w:val="002B2D5B"/>
    <w:rsid w:val="002B53FA"/>
    <w:rsid w:val="002D2496"/>
    <w:rsid w:val="002D4369"/>
    <w:rsid w:val="002D60C7"/>
    <w:rsid w:val="002D7087"/>
    <w:rsid w:val="002E1340"/>
    <w:rsid w:val="002E3E3D"/>
    <w:rsid w:val="002F10A8"/>
    <w:rsid w:val="003251A4"/>
    <w:rsid w:val="00331EE6"/>
    <w:rsid w:val="00335B90"/>
    <w:rsid w:val="00341C87"/>
    <w:rsid w:val="0034515E"/>
    <w:rsid w:val="003533D2"/>
    <w:rsid w:val="00353CB6"/>
    <w:rsid w:val="00362A30"/>
    <w:rsid w:val="00364AA4"/>
    <w:rsid w:val="00366E08"/>
    <w:rsid w:val="00377DB9"/>
    <w:rsid w:val="00382696"/>
    <w:rsid w:val="003909B6"/>
    <w:rsid w:val="003A235F"/>
    <w:rsid w:val="003A7CC3"/>
    <w:rsid w:val="003D0A70"/>
    <w:rsid w:val="004066AA"/>
    <w:rsid w:val="00413338"/>
    <w:rsid w:val="00422F11"/>
    <w:rsid w:val="00436EE8"/>
    <w:rsid w:val="00441B9C"/>
    <w:rsid w:val="00446DD9"/>
    <w:rsid w:val="004600F7"/>
    <w:rsid w:val="0047130D"/>
    <w:rsid w:val="00475EDE"/>
    <w:rsid w:val="00486B5F"/>
    <w:rsid w:val="00496FBD"/>
    <w:rsid w:val="004A102B"/>
    <w:rsid w:val="004A23BF"/>
    <w:rsid w:val="004A4DEE"/>
    <w:rsid w:val="004A79A6"/>
    <w:rsid w:val="004C05F6"/>
    <w:rsid w:val="004C231D"/>
    <w:rsid w:val="004C298B"/>
    <w:rsid w:val="004C30B3"/>
    <w:rsid w:val="004D0D73"/>
    <w:rsid w:val="004F23B1"/>
    <w:rsid w:val="004F2B14"/>
    <w:rsid w:val="005010BB"/>
    <w:rsid w:val="00504FAE"/>
    <w:rsid w:val="005155D5"/>
    <w:rsid w:val="00515A76"/>
    <w:rsid w:val="0052654C"/>
    <w:rsid w:val="00530BD1"/>
    <w:rsid w:val="0053577C"/>
    <w:rsid w:val="0054093A"/>
    <w:rsid w:val="00556E54"/>
    <w:rsid w:val="00565B41"/>
    <w:rsid w:val="0056622D"/>
    <w:rsid w:val="005720FF"/>
    <w:rsid w:val="00577734"/>
    <w:rsid w:val="005809A6"/>
    <w:rsid w:val="005847AE"/>
    <w:rsid w:val="0058687B"/>
    <w:rsid w:val="005A0E74"/>
    <w:rsid w:val="005A1CCF"/>
    <w:rsid w:val="005A32C7"/>
    <w:rsid w:val="005C692E"/>
    <w:rsid w:val="005D0F5E"/>
    <w:rsid w:val="005D4ABE"/>
    <w:rsid w:val="005E795F"/>
    <w:rsid w:val="005F18D5"/>
    <w:rsid w:val="00604C4E"/>
    <w:rsid w:val="00606AE1"/>
    <w:rsid w:val="006224FF"/>
    <w:rsid w:val="00640BF7"/>
    <w:rsid w:val="00640D4F"/>
    <w:rsid w:val="00646602"/>
    <w:rsid w:val="0064785F"/>
    <w:rsid w:val="0065799F"/>
    <w:rsid w:val="00663C38"/>
    <w:rsid w:val="00665C91"/>
    <w:rsid w:val="00674BFA"/>
    <w:rsid w:val="006773BC"/>
    <w:rsid w:val="00687D9E"/>
    <w:rsid w:val="00690CAC"/>
    <w:rsid w:val="00691D50"/>
    <w:rsid w:val="00695A4E"/>
    <w:rsid w:val="006A2373"/>
    <w:rsid w:val="006A2926"/>
    <w:rsid w:val="006A6746"/>
    <w:rsid w:val="006A6E52"/>
    <w:rsid w:val="006A7027"/>
    <w:rsid w:val="006B1B41"/>
    <w:rsid w:val="006B1B83"/>
    <w:rsid w:val="006B4D93"/>
    <w:rsid w:val="006C51E3"/>
    <w:rsid w:val="006C5432"/>
    <w:rsid w:val="006C60A0"/>
    <w:rsid w:val="006D74A1"/>
    <w:rsid w:val="006E03AE"/>
    <w:rsid w:val="006E6D1E"/>
    <w:rsid w:val="00714995"/>
    <w:rsid w:val="0072170A"/>
    <w:rsid w:val="007378DB"/>
    <w:rsid w:val="00743F8B"/>
    <w:rsid w:val="007557F5"/>
    <w:rsid w:val="007A062C"/>
    <w:rsid w:val="007A1E8E"/>
    <w:rsid w:val="007A2B2A"/>
    <w:rsid w:val="007A592F"/>
    <w:rsid w:val="007B09CE"/>
    <w:rsid w:val="007B4D6E"/>
    <w:rsid w:val="007B6800"/>
    <w:rsid w:val="007C40A5"/>
    <w:rsid w:val="007C4F6F"/>
    <w:rsid w:val="007C582F"/>
    <w:rsid w:val="007F1874"/>
    <w:rsid w:val="007F326F"/>
    <w:rsid w:val="007F7A86"/>
    <w:rsid w:val="008018C0"/>
    <w:rsid w:val="00822645"/>
    <w:rsid w:val="0082385A"/>
    <w:rsid w:val="00826000"/>
    <w:rsid w:val="00827BEE"/>
    <w:rsid w:val="0083290C"/>
    <w:rsid w:val="008364B0"/>
    <w:rsid w:val="008528A2"/>
    <w:rsid w:val="00855761"/>
    <w:rsid w:val="00857D82"/>
    <w:rsid w:val="00860C30"/>
    <w:rsid w:val="008658EE"/>
    <w:rsid w:val="00870DAB"/>
    <w:rsid w:val="00876394"/>
    <w:rsid w:val="00883D9D"/>
    <w:rsid w:val="00893786"/>
    <w:rsid w:val="0089741C"/>
    <w:rsid w:val="008A418B"/>
    <w:rsid w:val="008C27C5"/>
    <w:rsid w:val="008C2C2C"/>
    <w:rsid w:val="008C2D5E"/>
    <w:rsid w:val="008C46C2"/>
    <w:rsid w:val="008D471D"/>
    <w:rsid w:val="008E565C"/>
    <w:rsid w:val="008F643A"/>
    <w:rsid w:val="00901429"/>
    <w:rsid w:val="00902AEA"/>
    <w:rsid w:val="0090446F"/>
    <w:rsid w:val="00904EFF"/>
    <w:rsid w:val="0090772C"/>
    <w:rsid w:val="0091523B"/>
    <w:rsid w:val="009175FA"/>
    <w:rsid w:val="00935FEF"/>
    <w:rsid w:val="009413FA"/>
    <w:rsid w:val="009448EA"/>
    <w:rsid w:val="00955FF5"/>
    <w:rsid w:val="00960F3C"/>
    <w:rsid w:val="0098726A"/>
    <w:rsid w:val="009A1F45"/>
    <w:rsid w:val="009A4615"/>
    <w:rsid w:val="009A4A3E"/>
    <w:rsid w:val="009D1360"/>
    <w:rsid w:val="009D39C1"/>
    <w:rsid w:val="009D5E0B"/>
    <w:rsid w:val="009E2336"/>
    <w:rsid w:val="009F258E"/>
    <w:rsid w:val="009F38AF"/>
    <w:rsid w:val="009F5C8B"/>
    <w:rsid w:val="00A36847"/>
    <w:rsid w:val="00A52E71"/>
    <w:rsid w:val="00A61E74"/>
    <w:rsid w:val="00A62AC9"/>
    <w:rsid w:val="00A65608"/>
    <w:rsid w:val="00A670A4"/>
    <w:rsid w:val="00A77E62"/>
    <w:rsid w:val="00A8051E"/>
    <w:rsid w:val="00A80541"/>
    <w:rsid w:val="00A83455"/>
    <w:rsid w:val="00A8563E"/>
    <w:rsid w:val="00AA2AE2"/>
    <w:rsid w:val="00AB0CEE"/>
    <w:rsid w:val="00AB28EF"/>
    <w:rsid w:val="00AB7F25"/>
    <w:rsid w:val="00AC057F"/>
    <w:rsid w:val="00AC2D12"/>
    <w:rsid w:val="00AE3E9B"/>
    <w:rsid w:val="00B014C9"/>
    <w:rsid w:val="00B01A8D"/>
    <w:rsid w:val="00B100A8"/>
    <w:rsid w:val="00B10E4E"/>
    <w:rsid w:val="00B12B71"/>
    <w:rsid w:val="00B173DB"/>
    <w:rsid w:val="00B17824"/>
    <w:rsid w:val="00B27D19"/>
    <w:rsid w:val="00B3079B"/>
    <w:rsid w:val="00B33966"/>
    <w:rsid w:val="00B34B71"/>
    <w:rsid w:val="00B36D7C"/>
    <w:rsid w:val="00B43326"/>
    <w:rsid w:val="00B534F3"/>
    <w:rsid w:val="00B61C93"/>
    <w:rsid w:val="00B63780"/>
    <w:rsid w:val="00B649C7"/>
    <w:rsid w:val="00B7068C"/>
    <w:rsid w:val="00B72F6D"/>
    <w:rsid w:val="00B76EDE"/>
    <w:rsid w:val="00B87FE6"/>
    <w:rsid w:val="00BA5C19"/>
    <w:rsid w:val="00BB56CE"/>
    <w:rsid w:val="00BB77E6"/>
    <w:rsid w:val="00BC445A"/>
    <w:rsid w:val="00BE6A10"/>
    <w:rsid w:val="00BF3983"/>
    <w:rsid w:val="00BF5563"/>
    <w:rsid w:val="00BF6496"/>
    <w:rsid w:val="00C02CC1"/>
    <w:rsid w:val="00C0365D"/>
    <w:rsid w:val="00C14FC9"/>
    <w:rsid w:val="00C23DD0"/>
    <w:rsid w:val="00C269CA"/>
    <w:rsid w:val="00C2783D"/>
    <w:rsid w:val="00C312CC"/>
    <w:rsid w:val="00C33265"/>
    <w:rsid w:val="00C34328"/>
    <w:rsid w:val="00C35EA7"/>
    <w:rsid w:val="00C70D4D"/>
    <w:rsid w:val="00C71A4E"/>
    <w:rsid w:val="00C764B5"/>
    <w:rsid w:val="00C814AF"/>
    <w:rsid w:val="00CA5FFD"/>
    <w:rsid w:val="00CA62C9"/>
    <w:rsid w:val="00CB4367"/>
    <w:rsid w:val="00CC2960"/>
    <w:rsid w:val="00CE1BD3"/>
    <w:rsid w:val="00CE3F71"/>
    <w:rsid w:val="00D23E11"/>
    <w:rsid w:val="00D30814"/>
    <w:rsid w:val="00D44583"/>
    <w:rsid w:val="00D47BB4"/>
    <w:rsid w:val="00D50423"/>
    <w:rsid w:val="00D77775"/>
    <w:rsid w:val="00D87F05"/>
    <w:rsid w:val="00D93636"/>
    <w:rsid w:val="00D9766A"/>
    <w:rsid w:val="00DA48D5"/>
    <w:rsid w:val="00DA624A"/>
    <w:rsid w:val="00DB48AF"/>
    <w:rsid w:val="00DB4F29"/>
    <w:rsid w:val="00DC00EF"/>
    <w:rsid w:val="00DD1B81"/>
    <w:rsid w:val="00DD56D6"/>
    <w:rsid w:val="00DD64C7"/>
    <w:rsid w:val="00DE0DA8"/>
    <w:rsid w:val="00DE636F"/>
    <w:rsid w:val="00DF007D"/>
    <w:rsid w:val="00DF59D2"/>
    <w:rsid w:val="00DF5A8B"/>
    <w:rsid w:val="00E06151"/>
    <w:rsid w:val="00E07743"/>
    <w:rsid w:val="00E14B45"/>
    <w:rsid w:val="00E15917"/>
    <w:rsid w:val="00E2405C"/>
    <w:rsid w:val="00E2538A"/>
    <w:rsid w:val="00E42E80"/>
    <w:rsid w:val="00E53A63"/>
    <w:rsid w:val="00E61493"/>
    <w:rsid w:val="00E70262"/>
    <w:rsid w:val="00E83776"/>
    <w:rsid w:val="00E93DAB"/>
    <w:rsid w:val="00E95B06"/>
    <w:rsid w:val="00E96F1A"/>
    <w:rsid w:val="00EA35EF"/>
    <w:rsid w:val="00EB1E77"/>
    <w:rsid w:val="00EB647A"/>
    <w:rsid w:val="00EB7DC4"/>
    <w:rsid w:val="00EF433A"/>
    <w:rsid w:val="00EF65FC"/>
    <w:rsid w:val="00F07540"/>
    <w:rsid w:val="00F11BC8"/>
    <w:rsid w:val="00F13F8F"/>
    <w:rsid w:val="00F142E7"/>
    <w:rsid w:val="00F179E3"/>
    <w:rsid w:val="00F20370"/>
    <w:rsid w:val="00F25BCE"/>
    <w:rsid w:val="00F25F6A"/>
    <w:rsid w:val="00F27C55"/>
    <w:rsid w:val="00F51715"/>
    <w:rsid w:val="00F540CD"/>
    <w:rsid w:val="00F60292"/>
    <w:rsid w:val="00F64555"/>
    <w:rsid w:val="00F66089"/>
    <w:rsid w:val="00F70D11"/>
    <w:rsid w:val="00F74684"/>
    <w:rsid w:val="00F84A85"/>
    <w:rsid w:val="00F86863"/>
    <w:rsid w:val="00F936C5"/>
    <w:rsid w:val="00F93A08"/>
    <w:rsid w:val="00FA1F7A"/>
    <w:rsid w:val="00FA54BD"/>
    <w:rsid w:val="00FB068C"/>
    <w:rsid w:val="00FB1F1E"/>
    <w:rsid w:val="00FB7CB2"/>
    <w:rsid w:val="00FB7F12"/>
    <w:rsid w:val="00FC08F4"/>
    <w:rsid w:val="00FC0F15"/>
    <w:rsid w:val="00FC1FD9"/>
    <w:rsid w:val="00FC27E6"/>
    <w:rsid w:val="00FC368D"/>
    <w:rsid w:val="00FC4640"/>
    <w:rsid w:val="00FD099F"/>
    <w:rsid w:val="00FD73A0"/>
    <w:rsid w:val="00FE0F94"/>
    <w:rsid w:val="00FF6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1DBF9"/>
  <w15:docId w15:val="{F8ECF51F-7A25-4C20-B544-4AA7EBC3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rmal (Web)"/>
    <w:basedOn w:val="a"/>
    <w:uiPriority w:val="99"/>
    <w:semiHidden/>
    <w:unhideWhenUsed/>
    <w:rsid w:val="00413338"/>
    <w:rPr>
      <w:sz w:val="24"/>
      <w:szCs w:val="24"/>
    </w:rPr>
  </w:style>
  <w:style w:type="character" w:styleId="af">
    <w:name w:val="Unresolved Mention"/>
    <w:basedOn w:val="a0"/>
    <w:uiPriority w:val="99"/>
    <w:semiHidden/>
    <w:unhideWhenUsed/>
    <w:rsid w:val="00B36D7C"/>
    <w:rPr>
      <w:color w:val="605E5C"/>
      <w:shd w:val="clear" w:color="auto" w:fill="E1DFDD"/>
    </w:rPr>
  </w:style>
  <w:style w:type="paragraph" w:styleId="af0">
    <w:name w:val="footer"/>
    <w:basedOn w:val="a"/>
    <w:link w:val="af1"/>
    <w:uiPriority w:val="99"/>
    <w:unhideWhenUsed/>
    <w:rsid w:val="00F936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936C5"/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c"/>
    <w:uiPriority w:val="59"/>
    <w:rsid w:val="006A292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aliases w:val="Обя,мелкий,мой рабочий,No Spacing,норма,Айгерим,14 TNR,No Spacing1,No Spacing11,No Spacing_0,No Spacing_0_0,No Spacing_0_0_0,No Spacing_0_0_0_0,Без интервала1,Без интервала11,Без интервала2,Без интервала21,Без интервала211,Без интервала3"/>
    <w:uiPriority w:val="1"/>
    <w:qFormat/>
    <w:rsid w:val="001959C6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f3">
    <w:name w:val="annotation reference"/>
    <w:basedOn w:val="a0"/>
    <w:uiPriority w:val="99"/>
    <w:semiHidden/>
    <w:unhideWhenUsed/>
    <w:rsid w:val="0064785F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4785F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4785F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4785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4785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7BDBF-70A7-43A7-B694-C205DB9D1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Марина Борисовна</dc:creator>
  <cp:lastModifiedBy>Ким Марина Борисовна</cp:lastModifiedBy>
  <cp:revision>8</cp:revision>
  <cp:lastPrinted>2024-09-04T05:57:00Z</cp:lastPrinted>
  <dcterms:created xsi:type="dcterms:W3CDTF">2025-07-18T06:20:00Z</dcterms:created>
  <dcterms:modified xsi:type="dcterms:W3CDTF">2025-08-27T07:02:00Z</dcterms:modified>
</cp:coreProperties>
</file>